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56903" w14:textId="14BE937B" w:rsidR="00755559" w:rsidRPr="00D55A31" w:rsidRDefault="00755559" w:rsidP="00755559">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E13A1B" w:rsidRPr="00E13A1B">
        <w:rPr>
          <w:rFonts w:ascii="Arial" w:hAnsi="Arial" w:cs="Arial"/>
          <w:b/>
          <w:bCs/>
          <w:noProof/>
          <w:sz w:val="24"/>
          <w:szCs w:val="24"/>
          <w:lang w:val="en-US"/>
        </w:rPr>
        <w:t>R4-2304791</w:t>
      </w:r>
      <w:bookmarkStart w:id="1" w:name="_GoBack"/>
      <w:bookmarkEnd w:id="1"/>
    </w:p>
    <w:p w14:paraId="243A79E0" w14:textId="77777777" w:rsidR="00755559" w:rsidRPr="000851F5" w:rsidRDefault="00755559" w:rsidP="00755559">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4455A15C" w14:textId="556DF9BE"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D127C8">
        <w:rPr>
          <w:rFonts w:ascii="Arial" w:hAnsi="Arial" w:cs="Arial"/>
          <w:b/>
          <w:bCs/>
          <w:noProof/>
          <w:sz w:val="24"/>
          <w:szCs w:val="24"/>
          <w:lang w:val="en-US"/>
        </w:rPr>
        <w:t>5</w:t>
      </w:r>
      <w:r w:rsidR="00DE5D68">
        <w:rPr>
          <w:rFonts w:ascii="Arial" w:hAnsi="Arial" w:cs="Arial"/>
          <w:b/>
          <w:bCs/>
          <w:noProof/>
          <w:sz w:val="24"/>
          <w:szCs w:val="24"/>
          <w:lang w:val="en-US"/>
        </w:rPr>
        <w:t>.8.3.</w:t>
      </w:r>
      <w:r w:rsidR="00462619">
        <w:rPr>
          <w:rFonts w:ascii="Arial" w:hAnsi="Arial" w:cs="Arial"/>
          <w:b/>
          <w:bCs/>
          <w:noProof/>
          <w:sz w:val="24"/>
          <w:szCs w:val="24"/>
          <w:lang w:val="en-US"/>
        </w:rPr>
        <w:t>4</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0C4A505A"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462619">
        <w:rPr>
          <w:rFonts w:ascii="Arial" w:hAnsi="Arial" w:cs="Arial"/>
          <w:b/>
          <w:bCs/>
          <w:noProof/>
          <w:sz w:val="24"/>
          <w:szCs w:val="24"/>
          <w:lang w:val="en-US"/>
        </w:rPr>
        <w:t>scheduling measurement restriction</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90394E">
      <w:pPr>
        <w:pStyle w:val="1"/>
        <w:numPr>
          <w:ilvl w:val="0"/>
          <w:numId w:val="2"/>
        </w:numPr>
      </w:pPr>
      <w:r w:rsidRPr="00647B25">
        <w:t>Introduction</w:t>
      </w:r>
    </w:p>
    <w:p w14:paraId="02B59A24" w14:textId="7867660C" w:rsidR="0068666A" w:rsidRPr="00C15E1D" w:rsidRDefault="00C120F0" w:rsidP="00C120F0">
      <w:pPr>
        <w:jc w:val="both"/>
      </w:pPr>
      <w:r>
        <w:t xml:space="preserve">During the </w:t>
      </w:r>
      <w:r w:rsidR="000F04F5">
        <w:t>RAN4#</w:t>
      </w:r>
      <w:r w:rsidR="007438F8">
        <w:t>106 meeting, the scheduling restriction and measurement restriction has been discussed with no conclusion reached yet. The open issues are captured in the summary [1]. In this paper, we try to give further analysis on this topic.</w:t>
      </w:r>
    </w:p>
    <w:p w14:paraId="0BE719C5" w14:textId="46524AEC" w:rsidR="003F35DF" w:rsidRDefault="00895B09" w:rsidP="0090394E">
      <w:pPr>
        <w:pStyle w:val="1"/>
        <w:numPr>
          <w:ilvl w:val="0"/>
          <w:numId w:val="2"/>
        </w:numPr>
      </w:pPr>
      <w:r>
        <w:t>Discussion</w:t>
      </w:r>
    </w:p>
    <w:p w14:paraId="391A1E75" w14:textId="66A1CAC3" w:rsidR="00C85997" w:rsidRDefault="00C85997" w:rsidP="004D6EDF">
      <w:pPr>
        <w:rPr>
          <w:rFonts w:eastAsiaTheme="minorEastAsia"/>
          <w:lang w:eastAsia="zh-CN"/>
        </w:rPr>
      </w:pPr>
      <w:r>
        <w:rPr>
          <w:rFonts w:eastAsiaTheme="minorEastAsia"/>
          <w:lang w:eastAsia="zh-CN"/>
        </w:rPr>
        <w:t>During the RAN4#</w:t>
      </w:r>
      <w:r w:rsidR="00C803E7">
        <w:rPr>
          <w:rFonts w:eastAsiaTheme="minorEastAsia"/>
          <w:lang w:eastAsia="zh-CN"/>
        </w:rPr>
        <w:t xml:space="preserve">106 meeting, it has been agreed in the WF [1] that the groupbasedbeamreporting-r17 will be the pre-requisite of simultaneous reception of different directions. </w:t>
      </w:r>
    </w:p>
    <w:p w14:paraId="7CA5D51A" w14:textId="4CF3CDA7" w:rsidR="00C803E7" w:rsidRDefault="00C803E7"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402564D2" wp14:editId="35F62A3A">
                <wp:extent cx="6332220" cy="1168841"/>
                <wp:effectExtent l="0" t="0" r="114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68841"/>
                        </a:xfrm>
                        <a:prstGeom prst="rect">
                          <a:avLst/>
                        </a:prstGeom>
                        <a:solidFill>
                          <a:srgbClr val="FFFFFF"/>
                        </a:solidFill>
                        <a:ln w="9525">
                          <a:solidFill>
                            <a:srgbClr val="000000"/>
                          </a:solidFill>
                          <a:miter lim="800000"/>
                          <a:headEnd/>
                          <a:tailEnd/>
                        </a:ln>
                      </wps:spPr>
                      <wps:txbx>
                        <w:txbxContent>
                          <w:p w14:paraId="55474B20" w14:textId="79F9BD43" w:rsidR="00C803E7" w:rsidRPr="00704DD6" w:rsidRDefault="00C803E7" w:rsidP="00C803E7">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2B19E6DD" w14:textId="77777777" w:rsidR="00C803E7" w:rsidRPr="00704DD6" w:rsidRDefault="00C803E7" w:rsidP="00C803E7">
                            <w:pPr>
                              <w:pStyle w:val="afa"/>
                              <w:numPr>
                                <w:ilvl w:val="0"/>
                                <w:numId w:val="3"/>
                              </w:numPr>
                              <w:spacing w:after="120"/>
                              <w:ind w:left="72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1BBA76C4" w14:textId="77777777" w:rsidR="00C803E7" w:rsidRPr="00354D4E" w:rsidRDefault="00C803E7" w:rsidP="00C803E7">
                            <w:pPr>
                              <w:pStyle w:val="afa"/>
                              <w:numPr>
                                <w:ilvl w:val="1"/>
                                <w:numId w:val="3"/>
                              </w:numPr>
                              <w:spacing w:after="120"/>
                              <w:rPr>
                                <w:rFonts w:eastAsia="宋体"/>
                                <w:szCs w:val="24"/>
                                <w:lang w:eastAsia="zh-CN"/>
                              </w:rPr>
                            </w:pPr>
                            <w:r w:rsidRPr="00704DD6">
                              <w:rPr>
                                <w:rFonts w:eastAsia="宋体"/>
                                <w:szCs w:val="24"/>
                                <w:lang w:eastAsia="zh-CN"/>
                              </w:rPr>
                              <w:t>Note: Simultaneous reception term above includes Data/Data, RS/RS and Data/RS simultaneous reception cases.</w:t>
                            </w:r>
                          </w:p>
                          <w:p w14:paraId="12EA98C7" w14:textId="77777777" w:rsidR="00C803E7" w:rsidRPr="00354D4E" w:rsidRDefault="00C803E7" w:rsidP="00C803E7"/>
                        </w:txbxContent>
                      </wps:txbx>
                      <wps:bodyPr rot="0" vert="horz" wrap="square" lIns="91440" tIns="45720" rIns="91440" bIns="45720" anchor="t" anchorCtr="0">
                        <a:noAutofit/>
                      </wps:bodyPr>
                    </wps:wsp>
                  </a:graphicData>
                </a:graphic>
              </wp:inline>
            </w:drawing>
          </mc:Choice>
          <mc:Fallback>
            <w:pict>
              <v:shapetype w14:anchorId="402564D2" id="_x0000_t202" coordsize="21600,21600" o:spt="202" path="m,l,21600r21600,l21600,xe">
                <v:stroke joinstyle="miter"/>
                <v:path gradientshapeok="t" o:connecttype="rect"/>
              </v:shapetype>
              <v:shape id="文本框 2" o:spid="_x0000_s1026" type="#_x0000_t202" style="width:498.6pt;height:9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">
                <v:textbox>
                  <w:txbxContent>
                    <w:p w14:paraId="55474B20" w14:textId="79F9BD43" w:rsidR="00C803E7" w:rsidRPr="00704DD6" w:rsidRDefault="00C803E7" w:rsidP="00C803E7">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2B19E6DD" w14:textId="77777777" w:rsidR="00C803E7" w:rsidRPr="00704DD6" w:rsidRDefault="00C803E7" w:rsidP="00C803E7">
                      <w:pPr>
                        <w:pStyle w:val="afa"/>
                        <w:numPr>
                          <w:ilvl w:val="0"/>
                          <w:numId w:val="3"/>
                        </w:numPr>
                        <w:spacing w:after="120"/>
                        <w:ind w:left="72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1BBA76C4" w14:textId="77777777" w:rsidR="00C803E7" w:rsidRPr="00354D4E" w:rsidRDefault="00C803E7" w:rsidP="00C803E7">
                      <w:pPr>
                        <w:pStyle w:val="afa"/>
                        <w:numPr>
                          <w:ilvl w:val="1"/>
                          <w:numId w:val="3"/>
                        </w:numPr>
                        <w:spacing w:after="120"/>
                        <w:rPr>
                          <w:rFonts w:eastAsia="宋体"/>
                          <w:szCs w:val="24"/>
                          <w:lang w:eastAsia="zh-CN"/>
                        </w:rPr>
                      </w:pPr>
                      <w:r w:rsidRPr="00704DD6">
                        <w:rPr>
                          <w:rFonts w:eastAsia="宋体"/>
                          <w:szCs w:val="24"/>
                          <w:lang w:eastAsia="zh-CN"/>
                        </w:rPr>
                        <w:t>Note: Simultaneous reception term above includes Data/Data, RS/RS and Data/RS simultaneous reception cases.</w:t>
                      </w:r>
                    </w:p>
                    <w:p w14:paraId="12EA98C7" w14:textId="77777777" w:rsidR="00C803E7" w:rsidRPr="00354D4E" w:rsidRDefault="00C803E7" w:rsidP="00C803E7"/>
                  </w:txbxContent>
                </v:textbox>
                <w10:anchorlock/>
              </v:shape>
            </w:pict>
          </mc:Fallback>
        </mc:AlternateContent>
      </w:r>
    </w:p>
    <w:p w14:paraId="0A7D9140" w14:textId="126FC149" w:rsidR="00F75DD0" w:rsidRDefault="00F75DD0" w:rsidP="004D6EDF">
      <w:pPr>
        <w:rPr>
          <w:rFonts w:eastAsiaTheme="minorEastAsia"/>
          <w:lang w:eastAsia="zh-CN"/>
        </w:rPr>
      </w:pPr>
      <w:r>
        <w:rPr>
          <w:rFonts w:eastAsiaTheme="minorEastAsia"/>
          <w:lang w:eastAsia="zh-CN"/>
        </w:rPr>
        <w:t xml:space="preserve">In our companion paper [2], the mechanism of groupbasedbeamreporting-r17 has been discussed and some observations and proposals can be re-used here for measurement and scheduling restrictions. The table 1 of the </w:t>
      </w:r>
      <w:r w:rsidR="002F07F7">
        <w:rPr>
          <w:rFonts w:eastAsiaTheme="minorEastAsia"/>
          <w:lang w:eastAsia="zh-CN"/>
        </w:rPr>
        <w:t>L1-RSRP reporting is captured again here for further discussion.</w:t>
      </w:r>
    </w:p>
    <w:p w14:paraId="57175FD8" w14:textId="77777777" w:rsidR="00F75DD0" w:rsidRDefault="00F75DD0" w:rsidP="00F75DD0">
      <w:pPr>
        <w:jc w:val="center"/>
        <w:rPr>
          <w:rFonts w:eastAsiaTheme="minorEastAsia"/>
          <w:lang w:eastAsia="zh-CN"/>
        </w:rPr>
      </w:pPr>
      <w:r>
        <w:rPr>
          <w:rFonts w:eastAsiaTheme="minorEastAsia"/>
          <w:lang w:eastAsia="zh-CN"/>
        </w:rPr>
        <w:t xml:space="preserve"> Table 1 Illustration of the L1-RSRP report of groupbasedbeamreporting-r17</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0"/>
        <w:gridCol w:w="1192"/>
        <w:gridCol w:w="2647"/>
        <w:gridCol w:w="2647"/>
      </w:tblGrid>
      <w:tr w:rsidR="00F75DD0" w:rsidRPr="009D6835" w14:paraId="35898E86" w14:textId="77777777" w:rsidTr="008D31E2">
        <w:trPr>
          <w:trHeight w:val="170"/>
          <w:jc w:val="center"/>
        </w:trPr>
        <w:tc>
          <w:tcPr>
            <w:tcW w:w="0" w:type="auto"/>
            <w:shd w:val="clear" w:color="auto" w:fill="auto"/>
            <w:tcMar>
              <w:top w:w="72" w:type="dxa"/>
              <w:left w:w="144" w:type="dxa"/>
              <w:bottom w:w="72" w:type="dxa"/>
              <w:right w:w="144" w:type="dxa"/>
            </w:tcMar>
            <w:vAlign w:val="center"/>
          </w:tcPr>
          <w:p w14:paraId="36C4D1B6" w14:textId="77777777" w:rsidR="00F75DD0" w:rsidRPr="00C803E7" w:rsidRDefault="00F75DD0" w:rsidP="008D31E2">
            <w:pPr>
              <w:snapToGrid w:val="0"/>
              <w:spacing w:line="360" w:lineRule="auto"/>
              <w:jc w:val="center"/>
              <w:rPr>
                <w:rFonts w:ascii="宋体" w:hAnsi="宋体"/>
                <w:b/>
                <w:bCs/>
                <w:sz w:val="18"/>
                <w:szCs w:val="18"/>
                <w:lang w:bidi="ar"/>
              </w:rPr>
            </w:pPr>
            <w:r w:rsidRPr="009D6835">
              <w:rPr>
                <w:rFonts w:ascii="宋体" w:hAnsi="宋体"/>
                <w:b/>
                <w:bCs/>
                <w:sz w:val="18"/>
                <w:szCs w:val="18"/>
                <w:lang w:bidi="ar"/>
              </w:rPr>
              <w:t>CMR set ID</w:t>
            </w:r>
            <w:r>
              <w:rPr>
                <w:rFonts w:ascii="宋体" w:hAnsi="宋体"/>
                <w:b/>
                <w:bCs/>
                <w:sz w:val="18"/>
                <w:szCs w:val="18"/>
                <w:lang w:bidi="ar"/>
              </w:rPr>
              <w:t xml:space="preserve"> with largest L1-RSRP</w:t>
            </w:r>
          </w:p>
        </w:tc>
        <w:tc>
          <w:tcPr>
            <w:tcW w:w="0" w:type="auto"/>
            <w:tcBorders>
              <w:bottom w:val="single" w:sz="8" w:space="0" w:color="auto"/>
            </w:tcBorders>
            <w:shd w:val="clear" w:color="auto" w:fill="auto"/>
            <w:tcMar>
              <w:top w:w="72" w:type="dxa"/>
              <w:left w:w="144" w:type="dxa"/>
              <w:bottom w:w="72" w:type="dxa"/>
              <w:right w:w="144" w:type="dxa"/>
            </w:tcMar>
            <w:vAlign w:val="center"/>
          </w:tcPr>
          <w:p w14:paraId="37AE10B4"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b/>
                <w:bCs/>
                <w:sz w:val="18"/>
                <w:szCs w:val="18"/>
                <w:lang w:bidi="ar"/>
              </w:rPr>
              <w:t xml:space="preserve"> ID</w:t>
            </w:r>
          </w:p>
        </w:tc>
        <w:tc>
          <w:tcPr>
            <w:tcW w:w="0" w:type="auto"/>
            <w:tcBorders>
              <w:bottom w:val="single" w:sz="8" w:space="0" w:color="auto"/>
            </w:tcBorders>
            <w:shd w:val="clear" w:color="auto" w:fill="auto"/>
            <w:tcMar>
              <w:top w:w="72" w:type="dxa"/>
              <w:left w:w="144" w:type="dxa"/>
              <w:bottom w:w="72" w:type="dxa"/>
              <w:right w:w="144" w:type="dxa"/>
            </w:tcMar>
            <w:vAlign w:val="center"/>
          </w:tcPr>
          <w:p w14:paraId="2BC39E36" w14:textId="77777777" w:rsidR="00F75DD0" w:rsidRPr="009D6835" w:rsidRDefault="00F75DD0"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group#0</w:t>
            </w:r>
          </w:p>
        </w:tc>
        <w:tc>
          <w:tcPr>
            <w:tcW w:w="0" w:type="auto"/>
            <w:shd w:val="clear" w:color="auto" w:fill="auto"/>
            <w:tcMar>
              <w:top w:w="72" w:type="dxa"/>
              <w:left w:w="144" w:type="dxa"/>
              <w:bottom w:w="72" w:type="dxa"/>
              <w:right w:w="144" w:type="dxa"/>
            </w:tcMar>
            <w:vAlign w:val="center"/>
          </w:tcPr>
          <w:p w14:paraId="0A9948C6" w14:textId="77777777" w:rsidR="00F75DD0" w:rsidRPr="009D6835" w:rsidRDefault="00F75DD0"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group#1</w:t>
            </w:r>
          </w:p>
        </w:tc>
      </w:tr>
      <w:tr w:rsidR="00F75DD0" w:rsidRPr="009D6835" w14:paraId="65D2A3A2" w14:textId="77777777" w:rsidTr="008D31E2">
        <w:trPr>
          <w:trHeight w:val="170"/>
          <w:jc w:val="center"/>
        </w:trPr>
        <w:tc>
          <w:tcPr>
            <w:tcW w:w="0" w:type="auto"/>
            <w:vMerge w:val="restart"/>
            <w:shd w:val="clear" w:color="auto" w:fill="auto"/>
            <w:tcMar>
              <w:top w:w="72" w:type="dxa"/>
              <w:left w:w="144" w:type="dxa"/>
              <w:bottom w:w="72" w:type="dxa"/>
              <w:right w:w="144" w:type="dxa"/>
            </w:tcMar>
            <w:vAlign w:val="center"/>
          </w:tcPr>
          <w:p w14:paraId="792D862A"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CMR set ID</w:t>
            </w:r>
            <w:r>
              <w:rPr>
                <w:rFonts w:ascii="宋体" w:hAnsi="宋体"/>
                <w:sz w:val="18"/>
                <w:szCs w:val="18"/>
                <w:lang w:bidi="ar"/>
              </w:rPr>
              <w:t xml:space="preserve"> </w:t>
            </w:r>
            <w:r>
              <w:rPr>
                <w:rFonts w:ascii="宋体" w:hAnsi="宋体" w:hint="eastAsia"/>
                <w:sz w:val="18"/>
                <w:szCs w:val="18"/>
                <w:lang w:bidi="ar"/>
              </w:rPr>
              <w:t>（1bit）</w:t>
            </w:r>
          </w:p>
        </w:tc>
        <w:tc>
          <w:tcPr>
            <w:tcW w:w="0" w:type="auto"/>
            <w:tcBorders>
              <w:bottom w:val="single" w:sz="4" w:space="0" w:color="auto"/>
            </w:tcBorders>
            <w:shd w:val="clear" w:color="auto" w:fill="auto"/>
            <w:tcMar>
              <w:top w:w="72" w:type="dxa"/>
              <w:left w:w="144" w:type="dxa"/>
              <w:bottom w:w="72" w:type="dxa"/>
              <w:right w:w="144" w:type="dxa"/>
            </w:tcMar>
            <w:vAlign w:val="center"/>
          </w:tcPr>
          <w:p w14:paraId="6280F124"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ID#0</w:t>
            </w:r>
          </w:p>
        </w:tc>
        <w:tc>
          <w:tcPr>
            <w:tcW w:w="0" w:type="auto"/>
            <w:tcBorders>
              <w:bottom w:val="single" w:sz="4" w:space="0" w:color="auto"/>
            </w:tcBorders>
            <w:shd w:val="clear" w:color="auto" w:fill="auto"/>
            <w:tcMar>
              <w:top w:w="72" w:type="dxa"/>
              <w:left w:w="144" w:type="dxa"/>
              <w:bottom w:w="72" w:type="dxa"/>
              <w:right w:w="144" w:type="dxa"/>
            </w:tcMar>
            <w:vAlign w:val="center"/>
          </w:tcPr>
          <w:p w14:paraId="07AFE3E6"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1C69EAA"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L1-RSRP（7bit）</w:t>
            </w:r>
          </w:p>
        </w:tc>
        <w:tc>
          <w:tcPr>
            <w:tcW w:w="0" w:type="auto"/>
            <w:shd w:val="clear" w:color="auto" w:fill="auto"/>
            <w:tcMar>
              <w:top w:w="72" w:type="dxa"/>
              <w:left w:w="144" w:type="dxa"/>
              <w:bottom w:w="72" w:type="dxa"/>
              <w:right w:w="144" w:type="dxa"/>
            </w:tcMar>
            <w:vAlign w:val="center"/>
          </w:tcPr>
          <w:p w14:paraId="3BC18466"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A011015"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2F6F123C" w14:textId="77777777" w:rsidTr="008D31E2">
        <w:trPr>
          <w:trHeight w:val="170"/>
          <w:jc w:val="center"/>
        </w:trPr>
        <w:tc>
          <w:tcPr>
            <w:tcW w:w="0" w:type="auto"/>
            <w:vMerge/>
            <w:shd w:val="clear" w:color="auto" w:fill="auto"/>
            <w:vAlign w:val="center"/>
          </w:tcPr>
          <w:p w14:paraId="5CDC6BEB"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tcBorders>
              <w:top w:val="single" w:sz="4" w:space="0" w:color="auto"/>
            </w:tcBorders>
            <w:shd w:val="clear" w:color="auto" w:fill="auto"/>
            <w:tcMar>
              <w:top w:w="72" w:type="dxa"/>
              <w:left w:w="144" w:type="dxa"/>
              <w:bottom w:w="72" w:type="dxa"/>
              <w:right w:w="144" w:type="dxa"/>
            </w:tcMar>
            <w:vAlign w:val="center"/>
          </w:tcPr>
          <w:p w14:paraId="0F25100F"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ID#1</w:t>
            </w:r>
          </w:p>
        </w:tc>
        <w:tc>
          <w:tcPr>
            <w:tcW w:w="0" w:type="auto"/>
            <w:tcBorders>
              <w:top w:val="single" w:sz="4" w:space="0" w:color="auto"/>
            </w:tcBorders>
            <w:shd w:val="clear" w:color="auto" w:fill="auto"/>
            <w:tcMar>
              <w:top w:w="72" w:type="dxa"/>
              <w:left w:w="144" w:type="dxa"/>
              <w:bottom w:w="72" w:type="dxa"/>
              <w:right w:w="144" w:type="dxa"/>
            </w:tcMar>
            <w:vAlign w:val="center"/>
          </w:tcPr>
          <w:p w14:paraId="1BE5C254"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585CD0C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BC342D4"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CE7B09C"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48D63C24" w14:textId="77777777" w:rsidTr="008D31E2">
        <w:trPr>
          <w:trHeight w:val="170"/>
          <w:jc w:val="center"/>
        </w:trPr>
        <w:tc>
          <w:tcPr>
            <w:tcW w:w="0" w:type="auto"/>
            <w:vMerge/>
            <w:shd w:val="clear" w:color="auto" w:fill="auto"/>
            <w:vAlign w:val="center"/>
          </w:tcPr>
          <w:p w14:paraId="531B5F2A"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5C1EA027"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ID#2</w:t>
            </w:r>
          </w:p>
        </w:tc>
        <w:tc>
          <w:tcPr>
            <w:tcW w:w="0" w:type="auto"/>
            <w:shd w:val="clear" w:color="auto" w:fill="auto"/>
            <w:tcMar>
              <w:top w:w="72" w:type="dxa"/>
              <w:left w:w="144" w:type="dxa"/>
              <w:bottom w:w="72" w:type="dxa"/>
              <w:right w:w="144" w:type="dxa"/>
            </w:tcMar>
            <w:vAlign w:val="center"/>
          </w:tcPr>
          <w:p w14:paraId="1DF2E677"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A802519"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11BD69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54046CF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50C4D840" w14:textId="77777777" w:rsidTr="008D31E2">
        <w:trPr>
          <w:trHeight w:val="170"/>
          <w:jc w:val="center"/>
        </w:trPr>
        <w:tc>
          <w:tcPr>
            <w:tcW w:w="0" w:type="auto"/>
            <w:vMerge/>
            <w:shd w:val="clear" w:color="auto" w:fill="auto"/>
            <w:vAlign w:val="center"/>
          </w:tcPr>
          <w:p w14:paraId="5DCE122F"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459C7E80"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ID#3</w:t>
            </w:r>
          </w:p>
        </w:tc>
        <w:tc>
          <w:tcPr>
            <w:tcW w:w="0" w:type="auto"/>
            <w:shd w:val="clear" w:color="auto" w:fill="auto"/>
            <w:tcMar>
              <w:top w:w="72" w:type="dxa"/>
              <w:left w:w="144" w:type="dxa"/>
              <w:bottom w:w="72" w:type="dxa"/>
              <w:right w:w="144" w:type="dxa"/>
            </w:tcMar>
            <w:vAlign w:val="center"/>
          </w:tcPr>
          <w:p w14:paraId="1FADBDC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67566DDB"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lastRenderedPageBreak/>
              <w:t>L1-RSRP（4bit）</w:t>
            </w:r>
          </w:p>
        </w:tc>
        <w:tc>
          <w:tcPr>
            <w:tcW w:w="0" w:type="auto"/>
            <w:shd w:val="clear" w:color="auto" w:fill="auto"/>
            <w:tcMar>
              <w:top w:w="72" w:type="dxa"/>
              <w:left w:w="144" w:type="dxa"/>
              <w:bottom w:w="72" w:type="dxa"/>
              <w:right w:w="144" w:type="dxa"/>
            </w:tcMar>
            <w:vAlign w:val="center"/>
          </w:tcPr>
          <w:p w14:paraId="79C1605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lastRenderedPageBreak/>
              <w:t>SSBRI/CRI#，</w:t>
            </w:r>
          </w:p>
          <w:p w14:paraId="0A99FE7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lastRenderedPageBreak/>
              <w:t>L1-RSRP（4bit）</w:t>
            </w:r>
          </w:p>
        </w:tc>
      </w:tr>
    </w:tbl>
    <w:p w14:paraId="2AA8FD19" w14:textId="77777777" w:rsidR="00F75DD0" w:rsidRDefault="00F75DD0" w:rsidP="00F75DD0">
      <w:pPr>
        <w:rPr>
          <w:rFonts w:eastAsiaTheme="minorEastAsia"/>
          <w:lang w:eastAsia="zh-CN"/>
        </w:rPr>
      </w:pPr>
    </w:p>
    <w:p w14:paraId="30026680" w14:textId="4B94840E" w:rsidR="00F75DD0" w:rsidRDefault="00F75DD0" w:rsidP="00F75DD0">
      <w:pPr>
        <w:rPr>
          <w:rFonts w:eastAsiaTheme="minorEastAsia"/>
          <w:lang w:eastAsia="zh-CN"/>
        </w:rPr>
      </w:pPr>
      <w:r>
        <w:rPr>
          <w:rFonts w:eastAsiaTheme="minorEastAsia"/>
          <w:lang w:eastAsia="zh-CN"/>
        </w:rPr>
        <w:t xml:space="preserve">This </w:t>
      </w:r>
      <w:r w:rsidR="002F07F7">
        <w:rPr>
          <w:rFonts w:eastAsiaTheme="minorEastAsia"/>
          <w:lang w:eastAsia="zh-CN"/>
        </w:rPr>
        <w:t>table 1 has already indicateed</w:t>
      </w:r>
      <w:r>
        <w:rPr>
          <w:rFonts w:eastAsiaTheme="minorEastAsia"/>
          <w:lang w:eastAsia="zh-CN"/>
        </w:rPr>
        <w:t xml:space="preserve"> that for each L1-RSRP measurement of the groupbasedbeamreporting-r17, the UE is required to measure the SSB or CSI-RS based reference signal simultaneously and corresponding L1-RSRP measurement result for the simultaneous measurement will be reported. In this case, </w:t>
      </w:r>
      <w:r w:rsidR="002F07F7">
        <w:rPr>
          <w:rFonts w:eastAsiaTheme="minorEastAsia"/>
          <w:lang w:eastAsia="zh-CN"/>
        </w:rPr>
        <w:t>the measurement restriction should not apply.</w:t>
      </w:r>
    </w:p>
    <w:p w14:paraId="1B9AFBD5" w14:textId="25F255B0" w:rsidR="002F07F7" w:rsidRPr="002F07F7" w:rsidRDefault="002F07F7" w:rsidP="00F75DD0">
      <w:pPr>
        <w:rPr>
          <w:rFonts w:eastAsiaTheme="minorEastAsia"/>
          <w:b/>
          <w:lang w:eastAsia="zh-CN"/>
        </w:rPr>
      </w:pPr>
      <w:r w:rsidRPr="002F07F7">
        <w:rPr>
          <w:rFonts w:eastAsiaTheme="minorEastAsia"/>
          <w:b/>
          <w:lang w:eastAsia="zh-CN"/>
        </w:rPr>
        <w:t>Observation 1: The groupbasedbeamreporting-r17 report mechanism has required to measure the SSB or CSI-RS based reference signal simultaneously.</w:t>
      </w:r>
    </w:p>
    <w:p w14:paraId="5FB77471" w14:textId="0CDEE1A5" w:rsidR="00C803E7" w:rsidRDefault="002F07F7" w:rsidP="004D6EDF">
      <w:pPr>
        <w:rPr>
          <w:rFonts w:eastAsiaTheme="minorEastAsia"/>
          <w:lang w:eastAsia="zh-CN"/>
        </w:rPr>
      </w:pPr>
      <w:r>
        <w:rPr>
          <w:rFonts w:eastAsiaTheme="minorEastAsia"/>
          <w:lang w:eastAsia="zh-CN"/>
        </w:rPr>
        <w:t>Hence, for the network configured two CSI resource sets which can be both CSI-SSB resource set, both NZP-CSI-RS resource set and one for CSI-SSB and one for NZP-CSI-RS resource set, the UE should be capable of measure the corresponding resources simultaneously without measurement restriction.</w:t>
      </w:r>
    </w:p>
    <w:p w14:paraId="65ADAA73" w14:textId="5270F7FC" w:rsidR="002F07F7" w:rsidRPr="002F07F7" w:rsidRDefault="002F07F7" w:rsidP="002F07F7">
      <w:pPr>
        <w:rPr>
          <w:rFonts w:eastAsiaTheme="minorEastAsia"/>
          <w:b/>
          <w:lang w:eastAsia="zh-CN"/>
        </w:rPr>
      </w:pPr>
      <w:r w:rsidRPr="002F07F7">
        <w:rPr>
          <w:rFonts w:eastAsiaTheme="minorEastAsia"/>
          <w:b/>
          <w:lang w:eastAsia="zh-CN"/>
        </w:rPr>
        <w:t>Proposal 1: for the network configured two CSI resource sets UE should be capable of measure the corresponding resources simultaneously without measurement restriction.</w:t>
      </w:r>
    </w:p>
    <w:p w14:paraId="5D831E21" w14:textId="5D893DE0" w:rsidR="002F07F7" w:rsidRDefault="005D0606" w:rsidP="004D6EDF">
      <w:pPr>
        <w:rPr>
          <w:rFonts w:eastAsiaTheme="minorEastAsia"/>
          <w:lang w:eastAsia="zh-CN"/>
        </w:rPr>
      </w:pPr>
      <w:r>
        <w:rPr>
          <w:rFonts w:eastAsiaTheme="minorEastAsia"/>
          <w:lang w:eastAsia="zh-CN"/>
        </w:rPr>
        <w:t>While for the other cases, UE might be able to measure those resources simultaneously with the capability of multi-RX chain, but there is no requirement for UE to do so, which means legacy measurement restriction still can apply.</w:t>
      </w:r>
    </w:p>
    <w:p w14:paraId="75179B1B" w14:textId="2D12EBAE" w:rsidR="005D0606" w:rsidRDefault="005D0606" w:rsidP="004D6EDF">
      <w:pPr>
        <w:rPr>
          <w:rFonts w:eastAsiaTheme="minorEastAsia"/>
          <w:b/>
          <w:lang w:eastAsia="zh-CN"/>
        </w:rPr>
      </w:pPr>
      <w:r w:rsidRPr="005D0606">
        <w:rPr>
          <w:rFonts w:eastAsiaTheme="minorEastAsia"/>
          <w:b/>
          <w:lang w:eastAsia="zh-CN"/>
        </w:rPr>
        <w:t>Proposal 2: For the other cases legacy measurement restriction still apply</w:t>
      </w:r>
    </w:p>
    <w:p w14:paraId="49E8399E" w14:textId="18D810CE" w:rsidR="00056B8F" w:rsidRDefault="00056B8F" w:rsidP="004D6EDF">
      <w:pPr>
        <w:rPr>
          <w:rFonts w:eastAsiaTheme="minorEastAsia"/>
          <w:lang w:eastAsia="zh-CN"/>
        </w:rPr>
      </w:pPr>
      <w:r>
        <w:rPr>
          <w:rFonts w:eastAsiaTheme="minorEastAsia"/>
          <w:lang w:eastAsia="zh-CN"/>
        </w:rPr>
        <w:t xml:space="preserve">For the scheduling restriction, based on the above proposals of the simultaneous measurement, similar mechanism can apply. </w:t>
      </w:r>
      <w:r w:rsidR="004C66C6">
        <w:rPr>
          <w:rFonts w:eastAsiaTheme="minorEastAsia"/>
          <w:lang w:eastAsia="zh-CN"/>
        </w:rPr>
        <w:t>For the case where the RS for L1-RSRP measurement is in the one of the grouped configured CMR resource group while active TCI state for PDCCH/PDSCH is QCLed with RS for L1-RSRP measurement for the other CMR resource group, there should be no scheduling restriction.</w:t>
      </w:r>
    </w:p>
    <w:p w14:paraId="26EBA507" w14:textId="1BDA0DA6" w:rsidR="004C66C6" w:rsidRPr="004C66C6" w:rsidRDefault="004C66C6" w:rsidP="004D6EDF">
      <w:pPr>
        <w:rPr>
          <w:rFonts w:eastAsiaTheme="minorEastAsia"/>
          <w:b/>
          <w:lang w:eastAsia="zh-CN"/>
        </w:rPr>
      </w:pPr>
      <w:r w:rsidRPr="004C66C6">
        <w:rPr>
          <w:rFonts w:eastAsiaTheme="minorEastAsia"/>
          <w:b/>
          <w:lang w:eastAsia="zh-CN"/>
        </w:rPr>
        <w:t>Proposal 3: For the case where the RS for L1-RSRP measurement is in the one of the grouped configured CMR resource group while active TCI state for PDCCH/PDSCH is QCLed with RS for L1-RSRP measurement for the other CMR resource group, there should be no scheduling restriction.</w:t>
      </w:r>
    </w:p>
    <w:p w14:paraId="00F2A457" w14:textId="15E769CF" w:rsidR="003B7FF4" w:rsidRDefault="003B7FF4" w:rsidP="003B7FF4">
      <w:pPr>
        <w:pStyle w:val="1"/>
        <w:ind w:left="0" w:firstLine="0"/>
      </w:pPr>
      <w:r>
        <w:t>3</w:t>
      </w:r>
      <w:r w:rsidRPr="00336A0F">
        <w:tab/>
      </w:r>
      <w:r w:rsidR="003F02D9">
        <w:t>Conclusions</w:t>
      </w:r>
    </w:p>
    <w:p w14:paraId="77CB8971" w14:textId="392B64AF"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DD1BE7">
        <w:rPr>
          <w:rFonts w:eastAsiaTheme="minorEastAsia"/>
          <w:lang w:eastAsia="zh-CN"/>
        </w:rPr>
        <w:t>multi-RX chain</w:t>
      </w:r>
      <w:r w:rsidR="005C5ECA">
        <w:rPr>
          <w:rFonts w:eastAsiaTheme="minorEastAsia"/>
          <w:lang w:eastAsia="zh-CN"/>
        </w:rPr>
        <w:t xml:space="preserve"> issue</w:t>
      </w:r>
      <w:r w:rsidR="005A7AC9">
        <w:rPr>
          <w:rFonts w:eastAsiaTheme="minorEastAsia"/>
          <w:lang w:eastAsia="zh-CN"/>
        </w:rPr>
        <w:t>s</w:t>
      </w:r>
      <w:r>
        <w:rPr>
          <w:rFonts w:eastAsiaTheme="minorEastAsia"/>
          <w:lang w:eastAsia="zh-CN"/>
        </w:rPr>
        <w:t>, the observations and proposals are captured as below:</w:t>
      </w:r>
    </w:p>
    <w:p w14:paraId="7E568777" w14:textId="77777777" w:rsidR="00AA7F1D" w:rsidRPr="002F07F7" w:rsidRDefault="00AA7F1D" w:rsidP="00AA7F1D">
      <w:pPr>
        <w:rPr>
          <w:rFonts w:eastAsiaTheme="minorEastAsia"/>
          <w:b/>
          <w:lang w:eastAsia="zh-CN"/>
        </w:rPr>
      </w:pPr>
      <w:r w:rsidRPr="002F07F7">
        <w:rPr>
          <w:rFonts w:eastAsiaTheme="minorEastAsia"/>
          <w:b/>
          <w:lang w:eastAsia="zh-CN"/>
        </w:rPr>
        <w:t>Observation 1: The groupbasedbeamreporting-r17 report mechanism has required to measure the SSB or CSI-RS based reference signal simultaneously.</w:t>
      </w:r>
    </w:p>
    <w:p w14:paraId="54E8DB50" w14:textId="77777777" w:rsidR="00AA7F1D" w:rsidRPr="002F07F7" w:rsidRDefault="00AA7F1D" w:rsidP="00AA7F1D">
      <w:pPr>
        <w:rPr>
          <w:rFonts w:eastAsiaTheme="minorEastAsia"/>
          <w:b/>
          <w:lang w:eastAsia="zh-CN"/>
        </w:rPr>
      </w:pPr>
      <w:r w:rsidRPr="002F07F7">
        <w:rPr>
          <w:rFonts w:eastAsiaTheme="minorEastAsia"/>
          <w:b/>
          <w:lang w:eastAsia="zh-CN"/>
        </w:rPr>
        <w:t>Proposal 1: for the network configured two CSI resource sets UE should be capable of measure the corresponding resources simultaneously without measurement restriction.</w:t>
      </w:r>
    </w:p>
    <w:p w14:paraId="1D8D344E" w14:textId="77777777" w:rsidR="00AA7F1D" w:rsidRDefault="00AA7F1D" w:rsidP="00AA7F1D">
      <w:pPr>
        <w:rPr>
          <w:rFonts w:eastAsiaTheme="minorEastAsia"/>
          <w:b/>
          <w:lang w:eastAsia="zh-CN"/>
        </w:rPr>
      </w:pPr>
      <w:r w:rsidRPr="005D0606">
        <w:rPr>
          <w:rFonts w:eastAsiaTheme="minorEastAsia"/>
          <w:b/>
          <w:lang w:eastAsia="zh-CN"/>
        </w:rPr>
        <w:t>Proposal 2: For the other cases legacy measurement restriction still apply</w:t>
      </w:r>
    </w:p>
    <w:p w14:paraId="557C7460" w14:textId="77777777" w:rsidR="00AA7F1D" w:rsidRPr="004C66C6" w:rsidRDefault="00AA7F1D" w:rsidP="00AA7F1D">
      <w:pPr>
        <w:rPr>
          <w:rFonts w:eastAsiaTheme="minorEastAsia"/>
          <w:b/>
          <w:lang w:eastAsia="zh-CN"/>
        </w:rPr>
      </w:pPr>
      <w:r w:rsidRPr="004C66C6">
        <w:rPr>
          <w:rFonts w:eastAsiaTheme="minorEastAsia"/>
          <w:b/>
          <w:lang w:eastAsia="zh-CN"/>
        </w:rPr>
        <w:t>Proposal 3: For the case where the RS for L1-RSRP measurement is in the one of the grouped configured CMR resource group while active TCI state for PDCCH/PDSCH is QCLed with RS for L1-RSRP measurement for the other CMR resource group, there should be no scheduling restriction.</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66AB208" w:rsidR="00C85D48" w:rsidRDefault="00B46FE8" w:rsidP="00D066E1">
      <w:pPr>
        <w:textAlignment w:val="auto"/>
        <w:rPr>
          <w:rFonts w:eastAsiaTheme="minorEastAsia" w:cs="Calibri"/>
          <w:sz w:val="22"/>
          <w:szCs w:val="22"/>
          <w:lang w:val="en-US" w:eastAsia="zh-CN"/>
        </w:rPr>
      </w:pPr>
      <w:bookmarkStart w:id="2"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2"/>
      <w:r w:rsidR="00F04FB0" w:rsidRPr="00F04FB0">
        <w:rPr>
          <w:rFonts w:eastAsiaTheme="minorEastAsia" w:cs="Calibri"/>
          <w:sz w:val="22"/>
          <w:szCs w:val="22"/>
          <w:lang w:val="en-US" w:eastAsia="zh-CN"/>
        </w:rPr>
        <w:t>R4-2220742</w:t>
      </w:r>
      <w:r w:rsidR="005B0A1B">
        <w:rPr>
          <w:rFonts w:eastAsiaTheme="minorEastAsia" w:cs="Calibri"/>
          <w:sz w:val="22"/>
          <w:szCs w:val="22"/>
          <w:lang w:val="en-US" w:eastAsia="zh-CN"/>
        </w:rPr>
        <w:tab/>
      </w:r>
      <w:r w:rsidR="00D066E1">
        <w:rPr>
          <w:rFonts w:eastAsiaTheme="minorEastAsia" w:cs="Calibri"/>
          <w:sz w:val="22"/>
          <w:szCs w:val="22"/>
          <w:lang w:val="en-US" w:eastAsia="zh-CN"/>
        </w:rPr>
        <w:tab/>
      </w:r>
      <w:r w:rsidR="00F04FB0" w:rsidRPr="00F04FB0">
        <w:rPr>
          <w:rFonts w:eastAsiaTheme="minorEastAsia" w:cs="Calibri"/>
          <w:sz w:val="22"/>
          <w:szCs w:val="22"/>
          <w:lang w:val="en-US" w:eastAsia="zh-CN"/>
        </w:rPr>
        <w:t>WF on NR FR2 multi-Rx chain DL reception – Part 1</w:t>
      </w:r>
      <w:r w:rsidR="00F04FB0">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ABCC4" w14:textId="77777777" w:rsidR="00791A00" w:rsidRDefault="00791A00">
      <w:r>
        <w:separator/>
      </w:r>
    </w:p>
  </w:endnote>
  <w:endnote w:type="continuationSeparator" w:id="0">
    <w:p w14:paraId="7925A237" w14:textId="77777777" w:rsidR="00791A00" w:rsidRDefault="0079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DC307" w14:textId="77777777" w:rsidR="00791A00" w:rsidRDefault="00791A00">
      <w:r>
        <w:separator/>
      </w:r>
    </w:p>
  </w:footnote>
  <w:footnote w:type="continuationSeparator" w:id="0">
    <w:p w14:paraId="4A3492D3" w14:textId="77777777" w:rsidR="00791A00" w:rsidRDefault="00791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96B"/>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56B8F"/>
    <w:rsid w:val="00057CCC"/>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4C0"/>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7F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410"/>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2619"/>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6C6"/>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AC9"/>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606"/>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093"/>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3DBF"/>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4AF"/>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38F8"/>
    <w:rsid w:val="00744597"/>
    <w:rsid w:val="0074563F"/>
    <w:rsid w:val="00750188"/>
    <w:rsid w:val="007504A7"/>
    <w:rsid w:val="00750DA0"/>
    <w:rsid w:val="00751CFC"/>
    <w:rsid w:val="00751EEC"/>
    <w:rsid w:val="00752040"/>
    <w:rsid w:val="0075269B"/>
    <w:rsid w:val="0075285E"/>
    <w:rsid w:val="007537AA"/>
    <w:rsid w:val="0075383C"/>
    <w:rsid w:val="00753F48"/>
    <w:rsid w:val="00755559"/>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A0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95F"/>
    <w:rsid w:val="007A5D24"/>
    <w:rsid w:val="007A7C1F"/>
    <w:rsid w:val="007B10E7"/>
    <w:rsid w:val="007B173D"/>
    <w:rsid w:val="007B181B"/>
    <w:rsid w:val="007B3881"/>
    <w:rsid w:val="007B51B9"/>
    <w:rsid w:val="007B6519"/>
    <w:rsid w:val="007B6F0C"/>
    <w:rsid w:val="007C169E"/>
    <w:rsid w:val="007C1D8B"/>
    <w:rsid w:val="007C2A2A"/>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32F8"/>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A7F1D"/>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472"/>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03E7"/>
    <w:rsid w:val="00C810D1"/>
    <w:rsid w:val="00C82450"/>
    <w:rsid w:val="00C82C45"/>
    <w:rsid w:val="00C835DA"/>
    <w:rsid w:val="00C83B4C"/>
    <w:rsid w:val="00C84D56"/>
    <w:rsid w:val="00C8552B"/>
    <w:rsid w:val="00C85997"/>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28C"/>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7C8"/>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1BE7"/>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3A1B"/>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4FB0"/>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5DD0"/>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R4_Bullet,列表段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0BC8F8-585E-48B6-8D99-549DE508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16</cp:revision>
  <cp:lastPrinted>2019-08-07T05:09:00Z</cp:lastPrinted>
  <dcterms:created xsi:type="dcterms:W3CDTF">2023-02-17T02:52:00Z</dcterms:created>
  <dcterms:modified xsi:type="dcterms:W3CDTF">2023-04-10T12:24:00Z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